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5E2" w:rsidRDefault="00EB2E6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B2E61">
        <w:rPr>
          <w:rFonts w:ascii="Times New Roman" w:hAnsi="Times New Roman" w:cs="Times New Roman"/>
          <w:b/>
          <w:sz w:val="28"/>
          <w:szCs w:val="28"/>
          <w:lang w:val="uk-UA"/>
        </w:rPr>
        <w:t>Витяг з Порядку обробки персональних даних у кредитній спілці «</w:t>
      </w:r>
      <w:proofErr w:type="spellStart"/>
      <w:r w:rsidRPr="00EB2E61">
        <w:rPr>
          <w:rFonts w:ascii="Times New Roman" w:hAnsi="Times New Roman" w:cs="Times New Roman"/>
          <w:b/>
          <w:sz w:val="28"/>
          <w:szCs w:val="28"/>
          <w:lang w:val="uk-UA"/>
        </w:rPr>
        <w:t>Кредитсталь</w:t>
      </w:r>
      <w:proofErr w:type="spellEnd"/>
      <w:r w:rsidRPr="00EB2E61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EB2E61" w:rsidRPr="001402E5" w:rsidRDefault="00EB2E61" w:rsidP="00EB2E61">
      <w:pPr>
        <w:pStyle w:val="Standard"/>
        <w:autoSpaceDE w:val="0"/>
        <w:jc w:val="center"/>
        <w:rPr>
          <w:lang w:val="uk-UA"/>
        </w:rPr>
      </w:pPr>
      <w:r>
        <w:rPr>
          <w:rFonts w:eastAsia="Verdana"/>
          <w:b/>
          <w:bCs/>
          <w:lang w:val="uk-UA"/>
        </w:rPr>
        <w:t>5.8. Захист персональних даних</w:t>
      </w:r>
    </w:p>
    <w:p w:rsidR="00EB2E61" w:rsidRDefault="00EB2E61" w:rsidP="00EB2E61">
      <w:pPr>
        <w:pStyle w:val="Standard"/>
        <w:autoSpaceDE w:val="0"/>
        <w:ind w:left="40" w:right="20"/>
        <w:jc w:val="both"/>
        <w:rPr>
          <w:lang w:val="uk-UA"/>
        </w:rPr>
      </w:pPr>
    </w:p>
    <w:p w:rsidR="00EB2E61" w:rsidRDefault="00EB2E61" w:rsidP="00EB2E61">
      <w:pPr>
        <w:pStyle w:val="Standard"/>
        <w:numPr>
          <w:ilvl w:val="2"/>
          <w:numId w:val="1"/>
        </w:numPr>
        <w:autoSpaceDE w:val="0"/>
        <w:ind w:left="40" w:right="20" w:firstLine="620"/>
        <w:jc w:val="both"/>
        <w:rPr>
          <w:rFonts w:eastAsia="Verdana"/>
          <w:lang w:val="uk-UA"/>
        </w:rPr>
      </w:pPr>
      <w:r>
        <w:rPr>
          <w:rFonts w:eastAsia="Verdana"/>
          <w:lang w:val="uk-UA"/>
        </w:rPr>
        <w:t>Кредитна спілка, як володілець персональних даних вживає заходи щодо забезпечення захисту персональних даних на всіх етапах їх обробки, у тому числі за допомогою організаційних та технічних заходів.</w:t>
      </w:r>
    </w:p>
    <w:p w:rsidR="00EB2E61" w:rsidRDefault="00EB2E61" w:rsidP="00EB2E61">
      <w:pPr>
        <w:pStyle w:val="Standard"/>
        <w:numPr>
          <w:ilvl w:val="2"/>
          <w:numId w:val="1"/>
        </w:numPr>
        <w:autoSpaceDE w:val="0"/>
        <w:ind w:left="40" w:right="20" w:firstLine="620"/>
        <w:jc w:val="both"/>
        <w:rPr>
          <w:rFonts w:eastAsia="Verdana"/>
          <w:lang w:val="uk-UA"/>
        </w:rPr>
      </w:pPr>
      <w:r>
        <w:rPr>
          <w:rFonts w:eastAsia="Verdana"/>
          <w:lang w:val="uk-UA"/>
        </w:rPr>
        <w:t>Володілець персональних даних самостійно визначає перелік і склад заходів, спрямованих на безпеку обробки персональних даних, з урахуванням вимог законодавства у сферах захисту персональних даних, інформаційної безпеки.</w:t>
      </w:r>
    </w:p>
    <w:p w:rsidR="00EB2E61" w:rsidRDefault="00EB2E61" w:rsidP="00EB2E61">
      <w:pPr>
        <w:pStyle w:val="Standard"/>
        <w:numPr>
          <w:ilvl w:val="2"/>
          <w:numId w:val="1"/>
        </w:numPr>
        <w:autoSpaceDE w:val="0"/>
        <w:ind w:left="40" w:right="20" w:firstLine="620"/>
        <w:jc w:val="both"/>
        <w:rPr>
          <w:rFonts w:eastAsia="Verdana"/>
          <w:lang w:val="uk-UA"/>
        </w:rPr>
      </w:pPr>
      <w:r>
        <w:rPr>
          <w:rFonts w:eastAsia="Verdana"/>
          <w:lang w:val="uk-UA"/>
        </w:rPr>
        <w:t>Захист персональних даних передбачає заходи, спрямовані на запобігання їх випадкових втрати або знищення, незаконної обробки тому числі незаконного знищення чи доступу до персональних даних.</w:t>
      </w:r>
    </w:p>
    <w:p w:rsidR="00EB2E61" w:rsidRDefault="00EB2E61" w:rsidP="00EB2E61">
      <w:pPr>
        <w:pStyle w:val="Standard"/>
        <w:numPr>
          <w:ilvl w:val="2"/>
          <w:numId w:val="1"/>
        </w:numPr>
        <w:autoSpaceDE w:val="0"/>
        <w:ind w:left="40" w:right="20" w:firstLine="620"/>
        <w:jc w:val="both"/>
        <w:rPr>
          <w:rFonts w:eastAsia="Verdana"/>
          <w:lang w:val="uk-UA"/>
        </w:rPr>
      </w:pPr>
      <w:r>
        <w:rPr>
          <w:rFonts w:eastAsia="Verdana"/>
          <w:lang w:val="uk-UA"/>
        </w:rPr>
        <w:t>Організаційні заходи охоплюють:</w:t>
      </w:r>
    </w:p>
    <w:p w:rsidR="00EB2E61" w:rsidRDefault="00EB2E61" w:rsidP="00EB2E61">
      <w:pPr>
        <w:pStyle w:val="Standard"/>
        <w:autoSpaceDE w:val="0"/>
        <w:ind w:left="40" w:right="20" w:firstLine="620"/>
        <w:jc w:val="both"/>
      </w:pPr>
      <w:r>
        <w:rPr>
          <w:rFonts w:eastAsia="Verdana"/>
          <w:lang w:val="uk-UA"/>
        </w:rPr>
        <w:t xml:space="preserve">   </w:t>
      </w:r>
      <w:r w:rsidR="00133292">
        <w:rPr>
          <w:rFonts w:eastAsia="Verdana"/>
          <w:lang w:val="uk-UA"/>
        </w:rPr>
        <w:t xml:space="preserve"> </w:t>
      </w:r>
      <w:r>
        <w:rPr>
          <w:rFonts w:eastAsia="Verdana"/>
          <w:lang w:val="uk-UA"/>
        </w:rPr>
        <w:t xml:space="preserve">     - визначення порядку доступу до персональних даних працівників володільця</w:t>
      </w:r>
      <w:r w:rsidR="00133292">
        <w:rPr>
          <w:rFonts w:eastAsia="Verdana"/>
          <w:lang w:val="uk-UA"/>
        </w:rPr>
        <w:t>;</w:t>
      </w:r>
    </w:p>
    <w:p w:rsidR="00EB2E61" w:rsidRDefault="00EB2E61" w:rsidP="00EB2E61">
      <w:pPr>
        <w:pStyle w:val="Standard"/>
        <w:autoSpaceDE w:val="0"/>
        <w:ind w:left="40" w:right="20" w:firstLine="620"/>
        <w:jc w:val="both"/>
      </w:pPr>
      <w:r>
        <w:rPr>
          <w:rFonts w:eastAsia="Verdana"/>
          <w:lang w:val="uk-UA"/>
        </w:rPr>
        <w:t xml:space="preserve">        - визначення порядку ведення обліку операцій, пов`язаних з обробкою персональних да</w:t>
      </w:r>
      <w:r w:rsidR="00133292">
        <w:rPr>
          <w:rFonts w:eastAsia="Verdana"/>
          <w:lang w:val="uk-UA"/>
        </w:rPr>
        <w:t>них суб'єкта та доступом до них;</w:t>
      </w:r>
    </w:p>
    <w:p w:rsidR="00EB2E61" w:rsidRDefault="00EB2E61" w:rsidP="00EB2E61">
      <w:pPr>
        <w:pStyle w:val="Standard"/>
        <w:autoSpaceDE w:val="0"/>
        <w:ind w:left="40" w:right="20" w:firstLine="620"/>
        <w:jc w:val="both"/>
      </w:pPr>
      <w:r>
        <w:rPr>
          <w:rFonts w:eastAsia="Verdana"/>
          <w:lang w:val="uk-UA"/>
        </w:rPr>
        <w:t xml:space="preserve">        - розробку плану дій на випадок несанкціонованого доступу до персональних даних, пошкодження технічного обладнання, виникнення надзвичайних ситуацій;</w:t>
      </w:r>
    </w:p>
    <w:p w:rsidR="00EB2E61" w:rsidRDefault="00EB2E61" w:rsidP="00EB2E61">
      <w:pPr>
        <w:pStyle w:val="Standard"/>
        <w:autoSpaceDE w:val="0"/>
        <w:ind w:left="40" w:right="20" w:firstLine="620"/>
        <w:jc w:val="both"/>
      </w:pPr>
      <w:r>
        <w:rPr>
          <w:rFonts w:eastAsia="Verdana"/>
          <w:lang w:val="uk-UA"/>
        </w:rPr>
        <w:t xml:space="preserve">        - регулярне навчання співробітників, які працюють з персональними даними.</w:t>
      </w:r>
    </w:p>
    <w:p w:rsidR="00EB2E61" w:rsidRDefault="00EB2E61" w:rsidP="00EB2E61">
      <w:pPr>
        <w:pStyle w:val="Standard"/>
        <w:autoSpaceDE w:val="0"/>
        <w:ind w:left="40" w:right="20"/>
        <w:jc w:val="both"/>
      </w:pPr>
      <w:r>
        <w:rPr>
          <w:rFonts w:eastAsia="Verdana"/>
          <w:lang w:val="uk-UA"/>
        </w:rPr>
        <w:t xml:space="preserve">          5.8.5 Володілець веде облік працівників, які мають доступ до персональних даних суб’єктів.</w:t>
      </w:r>
    </w:p>
    <w:p w:rsidR="00EB2E61" w:rsidRDefault="00133292" w:rsidP="00EB2E61">
      <w:pPr>
        <w:pStyle w:val="Standard"/>
        <w:autoSpaceDE w:val="0"/>
        <w:ind w:left="40" w:right="20" w:firstLine="620"/>
        <w:jc w:val="both"/>
      </w:pPr>
      <w:r>
        <w:rPr>
          <w:rFonts w:eastAsia="Verdana"/>
          <w:lang w:val="uk-UA"/>
        </w:rPr>
        <w:t xml:space="preserve">           </w:t>
      </w:r>
      <w:r w:rsidR="00EB2E61">
        <w:rPr>
          <w:rFonts w:eastAsia="Verdana"/>
          <w:lang w:val="uk-UA"/>
        </w:rPr>
        <w:t xml:space="preserve"> Володілець визначає рівень доступу зазначених працівників до персональних даних суб`єктів. Кожен із цих працівників користується доступом лише до тих персональн</w:t>
      </w:r>
      <w:r>
        <w:rPr>
          <w:rFonts w:eastAsia="Verdana"/>
          <w:lang w:val="uk-UA"/>
        </w:rPr>
        <w:t>их даних (їх частини) суб`єктів</w:t>
      </w:r>
      <w:r w:rsidR="00EB2E61">
        <w:rPr>
          <w:rFonts w:eastAsia="Verdana"/>
          <w:lang w:val="uk-UA"/>
        </w:rPr>
        <w:t>,</w:t>
      </w:r>
      <w:r>
        <w:rPr>
          <w:rFonts w:eastAsia="Verdana"/>
          <w:lang w:val="uk-UA"/>
        </w:rPr>
        <w:t xml:space="preserve"> </w:t>
      </w:r>
      <w:r w:rsidR="00EB2E61">
        <w:rPr>
          <w:rFonts w:eastAsia="Verdana"/>
          <w:lang w:val="uk-UA"/>
        </w:rPr>
        <w:t>які необхідні йому у зв’язку з виконанням своїх професійних чи службових обов’язків.</w:t>
      </w:r>
    </w:p>
    <w:p w:rsidR="00EB2E61" w:rsidRDefault="00EB2E61" w:rsidP="00EB2E61">
      <w:pPr>
        <w:pStyle w:val="Standard"/>
        <w:autoSpaceDE w:val="0"/>
        <w:jc w:val="both"/>
      </w:pPr>
      <w:r>
        <w:rPr>
          <w:rFonts w:eastAsia="Verdana"/>
          <w:lang w:val="uk-UA"/>
        </w:rPr>
        <w:t xml:space="preserve">          5.8.6 Усі інші працівники володільця мають право на повну інформацію лише стосовно власних персональних даних.</w:t>
      </w:r>
    </w:p>
    <w:p w:rsidR="00EB2E61" w:rsidRDefault="00EB2E61" w:rsidP="00EB2E61">
      <w:pPr>
        <w:pStyle w:val="Standard"/>
        <w:autoSpaceDE w:val="0"/>
        <w:jc w:val="both"/>
      </w:pPr>
      <w:r>
        <w:rPr>
          <w:rFonts w:eastAsia="Verdana"/>
          <w:lang w:val="uk-UA"/>
        </w:rPr>
        <w:t xml:space="preserve">         5.8.7 Працівники, які мають доступ до персональних даних, дають письмове зобов`язання про нерозголошення персональних даних, які їм було довірено або які стали їм відомі у зв’язку з виконанням професійних або трудових обов`язків.</w:t>
      </w:r>
    </w:p>
    <w:p w:rsidR="00EB2E61" w:rsidRDefault="00EB2E61" w:rsidP="00EB2E61">
      <w:pPr>
        <w:pStyle w:val="Standard"/>
        <w:autoSpaceDE w:val="0"/>
        <w:jc w:val="both"/>
      </w:pPr>
      <w:r>
        <w:rPr>
          <w:rFonts w:eastAsia="Verdana"/>
          <w:lang w:val="uk-UA"/>
        </w:rPr>
        <w:t xml:space="preserve">      5.8.8 Датою надання права доступу до персональних даних вважається дата надання зобов`язання відповідним працівником.</w:t>
      </w:r>
    </w:p>
    <w:p w:rsidR="00EB2E61" w:rsidRDefault="00133292" w:rsidP="00EB2E61">
      <w:pPr>
        <w:pStyle w:val="Standard"/>
        <w:autoSpaceDE w:val="0"/>
        <w:jc w:val="both"/>
      </w:pPr>
      <w:r>
        <w:rPr>
          <w:rFonts w:eastAsia="Verdana"/>
          <w:lang w:val="uk-UA"/>
        </w:rPr>
        <w:t xml:space="preserve">       </w:t>
      </w:r>
      <w:r w:rsidR="00EB2E61">
        <w:rPr>
          <w:rFonts w:eastAsia="Verdana"/>
          <w:lang w:val="uk-UA"/>
        </w:rPr>
        <w:t>5.8.9 Датою позбавлення права доступу до персональних даних вважається дата звільнення працівн</w:t>
      </w:r>
      <w:r>
        <w:rPr>
          <w:rFonts w:eastAsia="Verdana"/>
          <w:lang w:val="uk-UA"/>
        </w:rPr>
        <w:t>ика, дата переведення на посаду</w:t>
      </w:r>
      <w:r w:rsidR="00EB2E61">
        <w:rPr>
          <w:rFonts w:eastAsia="Verdana"/>
          <w:lang w:val="uk-UA"/>
        </w:rPr>
        <w:t>,</w:t>
      </w:r>
      <w:r>
        <w:rPr>
          <w:rFonts w:eastAsia="Verdana"/>
          <w:lang w:val="uk-UA"/>
        </w:rPr>
        <w:t xml:space="preserve"> </w:t>
      </w:r>
      <w:r w:rsidR="00EB2E61">
        <w:rPr>
          <w:rFonts w:eastAsia="Verdana"/>
          <w:lang w:val="uk-UA"/>
        </w:rPr>
        <w:t>виконання обов`язків на якій не пов`язане з обробкою персональних даних.</w:t>
      </w:r>
    </w:p>
    <w:p w:rsidR="00EB2E61" w:rsidRDefault="00EB2E61" w:rsidP="00EB2E61">
      <w:pPr>
        <w:pStyle w:val="Standard"/>
        <w:autoSpaceDE w:val="0"/>
        <w:jc w:val="both"/>
      </w:pPr>
      <w:r>
        <w:rPr>
          <w:rFonts w:eastAsia="Verdana"/>
          <w:lang w:val="uk-UA"/>
        </w:rPr>
        <w:t xml:space="preserve">      5.8.10 У разі звільнення працівника, який мав доступ до персональних даних, або переведення його на іншу посаду ,що не передбачає роботу з</w:t>
      </w:r>
      <w:r w:rsidR="00133292">
        <w:rPr>
          <w:rFonts w:eastAsia="Verdana"/>
          <w:lang w:val="uk-UA"/>
        </w:rPr>
        <w:t xml:space="preserve"> персональними даними суб`єктів</w:t>
      </w:r>
      <w:r>
        <w:rPr>
          <w:rFonts w:eastAsia="Verdana"/>
          <w:lang w:val="uk-UA"/>
        </w:rPr>
        <w:t>,</w:t>
      </w:r>
      <w:r w:rsidR="00133292">
        <w:rPr>
          <w:rFonts w:eastAsia="Verdana"/>
          <w:lang w:val="uk-UA"/>
        </w:rPr>
        <w:t xml:space="preserve"> </w:t>
      </w:r>
      <w:r>
        <w:rPr>
          <w:rFonts w:eastAsia="Verdana"/>
          <w:lang w:val="uk-UA"/>
        </w:rPr>
        <w:t>вживаються заходи щодо унеможливлення доступу такої особи до персональних даних, а документи та інші носії ,що містять персональні дані суб`єктів, передаються іншому працівнику.</w:t>
      </w:r>
    </w:p>
    <w:p w:rsidR="00EB2E61" w:rsidRPr="001402E5" w:rsidRDefault="00EB2E61" w:rsidP="00EB2E61">
      <w:pPr>
        <w:pStyle w:val="Standard"/>
        <w:autoSpaceDE w:val="0"/>
        <w:jc w:val="both"/>
        <w:rPr>
          <w:lang w:val="uk-UA"/>
        </w:rPr>
      </w:pPr>
      <w:r>
        <w:rPr>
          <w:rFonts w:eastAsia="Verdana"/>
          <w:lang w:val="uk-UA"/>
        </w:rPr>
        <w:t xml:space="preserve">     5.8.11 Володілець веде облік операцій, пов`язаних з обробкою персональних даних суб`єкта та доступом до них. З цією метою володільцем зберігається інформація про :</w:t>
      </w:r>
    </w:p>
    <w:p w:rsidR="00EB2E61" w:rsidRDefault="00EB2E61" w:rsidP="00EB2E61">
      <w:pPr>
        <w:pStyle w:val="Standard"/>
        <w:numPr>
          <w:ilvl w:val="3"/>
          <w:numId w:val="2"/>
        </w:numPr>
        <w:autoSpaceDE w:val="0"/>
        <w:jc w:val="both"/>
      </w:pPr>
      <w:r>
        <w:rPr>
          <w:rFonts w:eastAsia="Verdana"/>
          <w:lang w:val="uk-UA"/>
        </w:rPr>
        <w:t>дату, час та джерело збирання персональних даних суб`єкта;</w:t>
      </w:r>
    </w:p>
    <w:p w:rsidR="00EB2E61" w:rsidRDefault="00EB2E61" w:rsidP="00EB2E61">
      <w:pPr>
        <w:pStyle w:val="Standard"/>
        <w:numPr>
          <w:ilvl w:val="3"/>
          <w:numId w:val="2"/>
        </w:numPr>
        <w:autoSpaceDE w:val="0"/>
        <w:jc w:val="both"/>
        <w:rPr>
          <w:rFonts w:eastAsia="Verdana"/>
          <w:lang w:val="uk-UA"/>
        </w:rPr>
      </w:pPr>
      <w:r>
        <w:rPr>
          <w:rFonts w:eastAsia="Verdana"/>
          <w:lang w:val="uk-UA"/>
        </w:rPr>
        <w:t>зміну персональних даних;</w:t>
      </w:r>
    </w:p>
    <w:p w:rsidR="00EB2E61" w:rsidRDefault="00EB2E61" w:rsidP="00EB2E61">
      <w:pPr>
        <w:pStyle w:val="Standard"/>
        <w:numPr>
          <w:ilvl w:val="3"/>
          <w:numId w:val="2"/>
        </w:numPr>
        <w:autoSpaceDE w:val="0"/>
        <w:jc w:val="both"/>
        <w:rPr>
          <w:rFonts w:eastAsia="Verdana"/>
          <w:lang w:val="uk-UA"/>
        </w:rPr>
      </w:pPr>
      <w:r>
        <w:rPr>
          <w:rFonts w:eastAsia="Verdana"/>
          <w:lang w:val="uk-UA"/>
        </w:rPr>
        <w:t>перегляд персональних даних;</w:t>
      </w:r>
    </w:p>
    <w:p w:rsidR="00EB2E61" w:rsidRDefault="00EB2E61" w:rsidP="00EB2E61">
      <w:pPr>
        <w:pStyle w:val="Standard"/>
        <w:numPr>
          <w:ilvl w:val="3"/>
          <w:numId w:val="2"/>
        </w:numPr>
        <w:autoSpaceDE w:val="0"/>
        <w:jc w:val="both"/>
      </w:pPr>
      <w:r>
        <w:rPr>
          <w:rFonts w:eastAsia="Verdana"/>
          <w:lang w:val="uk-UA"/>
        </w:rPr>
        <w:t>будь-яку передачу (копіювання) персональних даних суб`єкта;</w:t>
      </w:r>
    </w:p>
    <w:p w:rsidR="00EB2E61" w:rsidRDefault="00EB2E61" w:rsidP="00EB2E61">
      <w:pPr>
        <w:pStyle w:val="Standard"/>
        <w:numPr>
          <w:ilvl w:val="3"/>
          <w:numId w:val="2"/>
        </w:numPr>
        <w:autoSpaceDE w:val="0"/>
        <w:jc w:val="both"/>
        <w:rPr>
          <w:rFonts w:eastAsia="Verdana"/>
          <w:lang w:val="uk-UA"/>
        </w:rPr>
      </w:pPr>
      <w:r>
        <w:rPr>
          <w:rFonts w:eastAsia="Verdana"/>
          <w:lang w:val="uk-UA"/>
        </w:rPr>
        <w:t>дату та час видалення або знищення персональних даних;</w:t>
      </w:r>
    </w:p>
    <w:p w:rsidR="00EB2E61" w:rsidRDefault="00EB2E61" w:rsidP="00EB2E61">
      <w:pPr>
        <w:pStyle w:val="Standard"/>
        <w:numPr>
          <w:ilvl w:val="3"/>
          <w:numId w:val="2"/>
        </w:numPr>
        <w:autoSpaceDE w:val="0"/>
        <w:jc w:val="both"/>
        <w:rPr>
          <w:rFonts w:eastAsia="Verdana"/>
          <w:lang w:val="uk-UA"/>
        </w:rPr>
      </w:pPr>
      <w:r>
        <w:rPr>
          <w:rFonts w:eastAsia="Verdana"/>
          <w:lang w:val="uk-UA"/>
        </w:rPr>
        <w:t>працівника, який здійснив одну із указаних операцій;</w:t>
      </w:r>
    </w:p>
    <w:p w:rsidR="00EB2E61" w:rsidRDefault="00EB2E61" w:rsidP="00EB2E61">
      <w:pPr>
        <w:pStyle w:val="Standard"/>
        <w:numPr>
          <w:ilvl w:val="3"/>
          <w:numId w:val="2"/>
        </w:numPr>
        <w:autoSpaceDE w:val="0"/>
        <w:jc w:val="both"/>
        <w:rPr>
          <w:rFonts w:eastAsia="Verdana"/>
          <w:lang w:val="uk-UA"/>
        </w:rPr>
      </w:pPr>
      <w:r>
        <w:rPr>
          <w:rFonts w:eastAsia="Verdana"/>
          <w:lang w:val="uk-UA"/>
        </w:rPr>
        <w:t>мету та підстави зміни, перегляду, передачі та видалення або знищення персональних даних.</w:t>
      </w:r>
    </w:p>
    <w:p w:rsidR="00EB2E61" w:rsidRDefault="00EB2E61" w:rsidP="00EB2E61">
      <w:pPr>
        <w:pStyle w:val="Standard"/>
        <w:autoSpaceDE w:val="0"/>
        <w:jc w:val="both"/>
      </w:pPr>
      <w:r>
        <w:rPr>
          <w:rFonts w:eastAsia="Verdana"/>
          <w:lang w:val="uk-UA"/>
        </w:rPr>
        <w:t xml:space="preserve">    При обробці персональних даних суб’єктів за допомогою автоматизованої системи така система автоматично фіксує вказану інформацію. Ця інформація зберігається володільцем </w:t>
      </w:r>
      <w:r>
        <w:rPr>
          <w:rFonts w:eastAsia="Verdana"/>
          <w:lang w:val="uk-UA"/>
        </w:rPr>
        <w:lastRenderedPageBreak/>
        <w:t>упродовж одного року з моменту закінчення року, в якому було здійснено зазначені операції, якщо інше не передбачено  законодавством України.</w:t>
      </w:r>
    </w:p>
    <w:p w:rsidR="00EB2E61" w:rsidRPr="001402E5" w:rsidRDefault="00EB2E61" w:rsidP="00EB2E61">
      <w:pPr>
        <w:pStyle w:val="Standard"/>
        <w:autoSpaceDE w:val="0"/>
        <w:jc w:val="both"/>
        <w:rPr>
          <w:lang w:val="uk-UA"/>
        </w:rPr>
      </w:pPr>
      <w:r>
        <w:rPr>
          <w:rFonts w:eastAsia="Verdana"/>
          <w:lang w:val="uk-UA"/>
        </w:rPr>
        <w:t xml:space="preserve">      Кредитна спілка з</w:t>
      </w:r>
      <w:r w:rsidR="00133292">
        <w:rPr>
          <w:rFonts w:eastAsia="Verdana"/>
          <w:lang w:val="uk-UA"/>
        </w:rPr>
        <w:t>берігає інформацію про операції</w:t>
      </w:r>
      <w:r>
        <w:rPr>
          <w:rFonts w:eastAsia="Verdana"/>
          <w:lang w:val="uk-UA"/>
        </w:rPr>
        <w:t>, пов’язані з обробкою персональних даних суб’єкта та доступом до них в порядку передбаченому внутрішніми положеннями кредитної спілки для збереження інформації з обмеженим доступом.</w:t>
      </w:r>
    </w:p>
    <w:p w:rsidR="00EB2E61" w:rsidRDefault="00EB2E61" w:rsidP="00EB2E61">
      <w:pPr>
        <w:pStyle w:val="Standard"/>
        <w:jc w:val="both"/>
        <w:rPr>
          <w:rFonts w:eastAsia="Verdana"/>
          <w:lang w:val="uk-UA"/>
        </w:rPr>
      </w:pPr>
      <w:r>
        <w:rPr>
          <w:rFonts w:eastAsia="Verdana"/>
          <w:lang w:val="uk-UA"/>
        </w:rPr>
        <w:t xml:space="preserve">       Персональні дані залежно від способу їх зберігання (паперові, електронні носії) мають оброблятися у такий спосіб, щоб унеможливити доступ до них сторонніх осіб.</w:t>
      </w:r>
    </w:p>
    <w:p w:rsidR="00EB2E61" w:rsidRDefault="00EB2E61" w:rsidP="00EB2E61">
      <w:pPr>
        <w:pStyle w:val="Standard"/>
        <w:widowControl/>
        <w:tabs>
          <w:tab w:val="left" w:pos="795"/>
          <w:tab w:val="left" w:pos="1659"/>
        </w:tabs>
        <w:autoSpaceDE w:val="0"/>
        <w:ind w:right="40" w:firstLine="795"/>
        <w:jc w:val="both"/>
        <w:rPr>
          <w:rFonts w:eastAsia="Verdana"/>
          <w:lang w:val="uk-UA"/>
        </w:rPr>
      </w:pPr>
      <w:r>
        <w:rPr>
          <w:rFonts w:eastAsia="Verdana"/>
          <w:lang w:val="uk-UA"/>
        </w:rPr>
        <w:t>5.8.12.З метою забезпечення безпеки обробки персональних даних вживаються спеціальні технічні заходи захисту, у тому числі щодо виключення несанкціонованого доступу до персональних даних, що обробляються та роботі технічного та програмного комплексу, за допомогою якого здійснюється обробка персональних даних.</w:t>
      </w:r>
    </w:p>
    <w:p w:rsidR="00EB2E61" w:rsidRDefault="00EB2E61" w:rsidP="00EB2E61">
      <w:pPr>
        <w:pStyle w:val="Standard"/>
        <w:autoSpaceDE w:val="0"/>
        <w:ind w:left="40" w:right="40" w:firstLine="620"/>
        <w:jc w:val="both"/>
        <w:rPr>
          <w:rFonts w:eastAsia="Verdana"/>
          <w:lang w:val="uk-UA"/>
        </w:rPr>
      </w:pPr>
      <w:r>
        <w:rPr>
          <w:rFonts w:eastAsia="Verdana"/>
          <w:lang w:val="uk-UA"/>
        </w:rPr>
        <w:t>Картотеки зберігаються у приміщеннях (шафах, сейфах), захищених від несанкціонованого доступу. Двері у приміщеннях (шафах, сейфах) повинні бути обладнані замком або контролем доступу.</w:t>
      </w:r>
    </w:p>
    <w:p w:rsidR="00EB2E61" w:rsidRDefault="00EB2E61" w:rsidP="00EB2E61">
      <w:pPr>
        <w:pStyle w:val="Standard"/>
        <w:autoSpaceDE w:val="0"/>
        <w:ind w:left="40" w:right="40" w:firstLine="620"/>
        <w:jc w:val="both"/>
        <w:rPr>
          <w:rFonts w:eastAsia="Verdana"/>
          <w:lang w:val="uk-UA"/>
        </w:rPr>
      </w:pPr>
      <w:r>
        <w:rPr>
          <w:rFonts w:eastAsia="Verdana"/>
          <w:lang w:val="uk-UA"/>
        </w:rPr>
        <w:t>Приміщення, де стоять комп'ютери, на яких здійснюється обробка персональних даних, замикаються. Для отримання ключа необхідно поставити відмітку в журналі.</w:t>
      </w:r>
    </w:p>
    <w:p w:rsidR="00EB2E61" w:rsidRDefault="00EB2E61" w:rsidP="00EB2E61">
      <w:pPr>
        <w:pStyle w:val="Standard"/>
        <w:autoSpaceDE w:val="0"/>
        <w:ind w:left="40" w:right="40" w:firstLine="620"/>
        <w:jc w:val="both"/>
        <w:rPr>
          <w:rFonts w:eastAsia="Verdana"/>
          <w:lang w:val="uk-UA"/>
        </w:rPr>
      </w:pPr>
      <w:r>
        <w:rPr>
          <w:rFonts w:eastAsia="Verdana"/>
          <w:lang w:val="uk-UA"/>
        </w:rPr>
        <w:t>Комп'ютери, де містяться персональні дані, захищені паролем. Кожен працівник має особистий пароль.</w:t>
      </w:r>
    </w:p>
    <w:p w:rsidR="00EB2E61" w:rsidRDefault="00EB2E61" w:rsidP="00EB2E61">
      <w:pPr>
        <w:pStyle w:val="Standard"/>
        <w:tabs>
          <w:tab w:val="left" w:pos="0"/>
          <w:tab w:val="left" w:pos="898"/>
          <w:tab w:val="left" w:pos="10368"/>
        </w:tabs>
        <w:autoSpaceDE w:val="0"/>
        <w:ind w:right="40"/>
        <w:jc w:val="both"/>
      </w:pPr>
      <w:r>
        <w:rPr>
          <w:rFonts w:eastAsia="Verdana"/>
          <w:lang w:val="uk-UA"/>
        </w:rPr>
        <w:t xml:space="preserve">           5.8.13 Кредитна спілка назначає відповідальну особу, яка організовує роботу, пов'язану із захистом персональних даних при їх обробці.</w:t>
      </w:r>
    </w:p>
    <w:p w:rsidR="00EB2E61" w:rsidRDefault="00EB2E61" w:rsidP="00EB2E61">
      <w:pPr>
        <w:pStyle w:val="Standard"/>
        <w:tabs>
          <w:tab w:val="left" w:pos="0"/>
          <w:tab w:val="left" w:pos="1491"/>
        </w:tabs>
        <w:autoSpaceDE w:val="0"/>
        <w:ind w:right="40"/>
        <w:jc w:val="both"/>
        <w:rPr>
          <w:rFonts w:eastAsia="Verdana"/>
          <w:lang w:val="uk-UA"/>
        </w:rPr>
      </w:pPr>
      <w:r>
        <w:rPr>
          <w:rFonts w:eastAsia="Verdana"/>
          <w:lang w:val="uk-UA"/>
        </w:rPr>
        <w:t xml:space="preserve">           5.8.14 Факти порушень процесу обробки та захисту персональних даних повинні бути документально зафіксовані відповідальною особою.</w:t>
      </w:r>
    </w:p>
    <w:p w:rsidR="00EB2E61" w:rsidRDefault="00EB2E61" w:rsidP="00EB2E61">
      <w:pPr>
        <w:pStyle w:val="Standard"/>
        <w:autoSpaceDE w:val="0"/>
        <w:ind w:left="40" w:right="40" w:firstLine="620"/>
        <w:jc w:val="both"/>
        <w:rPr>
          <w:rFonts w:eastAsia="Verdana"/>
          <w:lang w:val="uk-UA"/>
        </w:rPr>
      </w:pPr>
      <w:r>
        <w:rPr>
          <w:rFonts w:eastAsia="Verdana"/>
          <w:lang w:val="uk-UA"/>
        </w:rPr>
        <w:t>Про факт порушення відповідальна особа складає Акт про порушення процесу обробки та захисту персональних даних.</w:t>
      </w:r>
    </w:p>
    <w:p w:rsidR="00EB2E61" w:rsidRDefault="00EB2E61" w:rsidP="00EB2E61">
      <w:pPr>
        <w:pStyle w:val="Standard"/>
        <w:autoSpaceDE w:val="0"/>
        <w:ind w:left="40" w:right="40" w:firstLine="620"/>
        <w:jc w:val="both"/>
      </w:pPr>
      <w:r>
        <w:rPr>
          <w:rFonts w:eastAsia="Verdana"/>
          <w:lang w:val="uk-UA"/>
        </w:rPr>
        <w:t xml:space="preserve"> 5.8.15 Кредитною спілкою розроблено план дій на випадок несанкціонованого доступу до персональних даних, пошкодження технічного обладнання, виникнення надзвичайних ситуацій. </w:t>
      </w:r>
    </w:p>
    <w:p w:rsidR="00EB2E61" w:rsidRDefault="00EB2E61" w:rsidP="00EB2E61">
      <w:pPr>
        <w:pStyle w:val="Standard"/>
        <w:tabs>
          <w:tab w:val="left" w:leader="underscore" w:pos="2809"/>
        </w:tabs>
        <w:autoSpaceDE w:val="0"/>
        <w:ind w:left="40" w:right="40" w:firstLine="620"/>
        <w:jc w:val="both"/>
        <w:rPr>
          <w:rFonts w:eastAsia="Verdana"/>
          <w:lang w:val="uk-UA"/>
        </w:rPr>
      </w:pPr>
      <w:r>
        <w:rPr>
          <w:rFonts w:eastAsia="Verdana"/>
          <w:lang w:val="uk-UA"/>
        </w:rPr>
        <w:t xml:space="preserve"> 5.8.16  Всі співробітники кредитної спілки, які працюють з персональними даними проходять регулярне навчання згідно Програми навчання співробітників кредитної спілки «</w:t>
      </w:r>
      <w:proofErr w:type="spellStart"/>
      <w:r>
        <w:rPr>
          <w:rFonts w:eastAsia="Verdana"/>
          <w:lang w:val="uk-UA"/>
        </w:rPr>
        <w:t>Кредитсталь”</w:t>
      </w:r>
      <w:proofErr w:type="spellEnd"/>
      <w:r>
        <w:rPr>
          <w:rFonts w:eastAsia="Verdana"/>
          <w:lang w:val="uk-UA"/>
        </w:rPr>
        <w:t xml:space="preserve"> які працюють з персональними даними. </w:t>
      </w:r>
    </w:p>
    <w:p w:rsidR="00EB2E61" w:rsidRPr="00EB2E61" w:rsidRDefault="00EB2E61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EB2E61" w:rsidRPr="00EB2E61" w:rsidSect="00EB2E6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350F7"/>
    <w:multiLevelType w:val="multilevel"/>
    <w:tmpl w:val="BE80B4C2"/>
    <w:styleLink w:val="WW8Num41"/>
    <w:lvl w:ilvl="0">
      <w:numFmt w:val="bullet"/>
      <w:lvlText w:val=""/>
      <w:lvlJc w:val="left"/>
      <w:rPr>
        <w:rFonts w:ascii="Symbol" w:hAnsi="Symbol"/>
        <w:lang w:val="uk-UA"/>
      </w:rPr>
    </w:lvl>
    <w:lvl w:ilvl="1">
      <w:numFmt w:val="bullet"/>
      <w:lvlText w:val=""/>
      <w:lvlJc w:val="left"/>
      <w:rPr>
        <w:rFonts w:ascii="Symbol" w:hAnsi="Symbol"/>
        <w:lang w:val="uk-UA"/>
      </w:rPr>
    </w:lvl>
    <w:lvl w:ilvl="2">
      <w:numFmt w:val="bullet"/>
      <w:lvlText w:val=""/>
      <w:lvlJc w:val="left"/>
      <w:rPr>
        <w:rFonts w:ascii="Symbol" w:hAnsi="Symbol"/>
        <w:lang w:val="uk-UA"/>
      </w:rPr>
    </w:lvl>
    <w:lvl w:ilvl="3">
      <w:numFmt w:val="bullet"/>
      <w:lvlText w:val=""/>
      <w:lvlJc w:val="left"/>
      <w:rPr>
        <w:rFonts w:ascii="Symbol" w:hAnsi="Symbol"/>
        <w:lang w:val="uk-UA"/>
      </w:rPr>
    </w:lvl>
    <w:lvl w:ilvl="4">
      <w:numFmt w:val="bullet"/>
      <w:lvlText w:val=""/>
      <w:lvlJc w:val="left"/>
      <w:rPr>
        <w:rFonts w:ascii="Symbol" w:hAnsi="Symbol"/>
        <w:lang w:val="uk-UA"/>
      </w:rPr>
    </w:lvl>
    <w:lvl w:ilvl="5">
      <w:numFmt w:val="bullet"/>
      <w:lvlText w:val=""/>
      <w:lvlJc w:val="left"/>
      <w:rPr>
        <w:rFonts w:ascii="Symbol" w:hAnsi="Symbol"/>
        <w:lang w:val="uk-UA"/>
      </w:rPr>
    </w:lvl>
    <w:lvl w:ilvl="6">
      <w:numFmt w:val="bullet"/>
      <w:lvlText w:val=""/>
      <w:lvlJc w:val="left"/>
      <w:rPr>
        <w:rFonts w:ascii="Symbol" w:hAnsi="Symbol"/>
        <w:lang w:val="uk-UA"/>
      </w:rPr>
    </w:lvl>
    <w:lvl w:ilvl="7">
      <w:numFmt w:val="bullet"/>
      <w:lvlText w:val=""/>
      <w:lvlJc w:val="left"/>
      <w:rPr>
        <w:rFonts w:ascii="Symbol" w:hAnsi="Symbol"/>
        <w:lang w:val="uk-UA"/>
      </w:rPr>
    </w:lvl>
    <w:lvl w:ilvl="8">
      <w:numFmt w:val="bullet"/>
      <w:lvlText w:val=""/>
      <w:lvlJc w:val="left"/>
      <w:rPr>
        <w:rFonts w:ascii="Symbol" w:hAnsi="Symbol"/>
        <w:lang w:val="uk-UA"/>
      </w:rPr>
    </w:lvl>
  </w:abstractNum>
  <w:abstractNum w:abstractNumId="1">
    <w:nsid w:val="63A171EF"/>
    <w:multiLevelType w:val="multilevel"/>
    <w:tmpl w:val="806879F6"/>
    <w:styleLink w:val="WW8Num39"/>
    <w:lvl w:ilvl="0">
      <w:start w:val="5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  <w:lang w:val="uk-UA" w:eastAsia="uk-UA"/>
      </w:rPr>
    </w:lvl>
    <w:lvl w:ilvl="1">
      <w:start w:val="8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B2E61"/>
    <w:rsid w:val="00133292"/>
    <w:rsid w:val="004A65E2"/>
    <w:rsid w:val="00EB2E61"/>
    <w:rsid w:val="00EE3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5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B2E6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WW8Num39">
    <w:name w:val="WW8Num39"/>
    <w:basedOn w:val="a2"/>
    <w:rsid w:val="00EB2E61"/>
    <w:pPr>
      <w:numPr>
        <w:numId w:val="1"/>
      </w:numPr>
    </w:pPr>
  </w:style>
  <w:style w:type="numbering" w:customStyle="1" w:styleId="WW8Num41">
    <w:name w:val="WW8Num41"/>
    <w:basedOn w:val="a2"/>
    <w:rsid w:val="00EB2E61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811</Words>
  <Characters>4628</Characters>
  <Application>Microsoft Office Word</Application>
  <DocSecurity>0</DocSecurity>
  <Lines>38</Lines>
  <Paragraphs>10</Paragraphs>
  <ScaleCrop>false</ScaleCrop>
  <Company/>
  <LinksUpToDate>false</LinksUpToDate>
  <CharactersWithSpaces>5429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</cp:lastModifiedBy>
  <cp:revision>2</cp:revision>
  <dcterms:created xsi:type="dcterms:W3CDTF">2022-01-05T13:49:00Z</dcterms:created>
  <dcterms:modified xsi:type="dcterms:W3CDTF">2022-01-08T20:06:00Z</dcterms:modified>
</cp:coreProperties>
</file>